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769772E2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04E89">
            <w:t>SCE17WP015</w:t>
          </w:r>
        </w:sdtContent>
      </w:sdt>
    </w:p>
    <w:bookmarkEnd w:id="0"/>
    <w:p w14:paraId="7601CE2F" w14:textId="6A3270B3" w:rsidR="00DA690B" w:rsidRPr="00500C4E" w:rsidRDefault="00EA256A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704E89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EA256A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5047C192" w:rsidR="00E76B31" w:rsidRPr="00500C4E" w:rsidRDefault="00704E89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  <w:r>
        <w:rPr>
          <w:rFonts w:cstheme="minorHAnsi"/>
          <w:b/>
          <w:i w:val="0"/>
          <w:color w:val="auto"/>
          <w:sz w:val="72"/>
          <w:szCs w:val="72"/>
        </w:rPr>
        <w:t>Water Pump Upgrade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55E7DE4A" w:rsidR="00F30167" w:rsidRPr="009C30CF" w:rsidRDefault="00F30167" w:rsidP="009C30CF">
      <w:pPr>
        <w:pStyle w:val="Default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E16C17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This short form </w:t>
      </w:r>
      <w:proofErr w:type="spellStart"/>
      <w:r w:rsidRPr="00E16C17">
        <w:rPr>
          <w:rFonts w:asciiTheme="minorHAnsi" w:eastAsia="Times New Roman" w:hAnsiTheme="minorHAnsi" w:cstheme="minorHAnsi"/>
          <w:color w:val="auto"/>
          <w:sz w:val="22"/>
          <w:szCs w:val="22"/>
        </w:rPr>
        <w:t>workpaper</w:t>
      </w:r>
      <w:proofErr w:type="spellEnd"/>
      <w:r w:rsidRPr="00E16C17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="002842F8" w:rsidRPr="00E16C17">
        <w:rPr>
          <w:rFonts w:asciiTheme="minorHAnsi" w:eastAsia="Times New Roman" w:hAnsiTheme="minorHAnsi" w:cstheme="minorHAnsi"/>
          <w:color w:val="auto"/>
          <w:sz w:val="22"/>
          <w:szCs w:val="22"/>
        </w:rPr>
        <w:t>(WP) documents</w:t>
      </w:r>
      <w:r w:rsidRPr="00E16C17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the values adopted from PGE’s WP entitled “</w:t>
      </w:r>
      <w:r w:rsidR="00704E89" w:rsidRPr="00E16C17">
        <w:rPr>
          <w:rFonts w:asciiTheme="minorHAnsi" w:hAnsiTheme="minorHAnsi" w:cstheme="minorHAnsi"/>
          <w:color w:val="auto"/>
          <w:szCs w:val="22"/>
        </w:rPr>
        <w:t>PGECOPUM106 rev0 Water Pump Upgrade</w:t>
      </w:r>
      <w:r w:rsidR="00966709" w:rsidRPr="005837B0">
        <w:rPr>
          <w:rFonts w:asciiTheme="minorHAnsi" w:hAnsiTheme="minorHAnsi" w:cstheme="minorHAnsi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color w:val="auto"/>
          <w:szCs w:val="22"/>
        </w:rPr>
        <w:t xml:space="preserve">. SCE adopts all the values in </w:t>
      </w:r>
      <w:r w:rsidR="00704E89" w:rsidRPr="00E16C17">
        <w:rPr>
          <w:rFonts w:asciiTheme="minorHAnsi" w:hAnsiTheme="minorHAnsi" w:cstheme="minorHAnsi"/>
          <w:color w:val="auto"/>
          <w:szCs w:val="22"/>
        </w:rPr>
        <w:t>PGECOPUM106 rev0</w:t>
      </w:r>
      <w:r w:rsidR="009C30CF">
        <w:rPr>
          <w:rFonts w:asciiTheme="minorHAnsi" w:hAnsiTheme="minorHAnsi" w:cstheme="minorHAnsi"/>
          <w:color w:val="auto"/>
          <w:szCs w:val="22"/>
        </w:rPr>
        <w:t>, with the following exceptions:</w:t>
      </w:r>
      <w:r w:rsidRPr="005837B0">
        <w:rPr>
          <w:rFonts w:asciiTheme="minorHAnsi" w:hAnsiTheme="minorHAnsi" w:cstheme="minorHAnsi"/>
          <w:color w:val="auto"/>
          <w:szCs w:val="22"/>
        </w:rPr>
        <w:t xml:space="preserve"> 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6D83D35" w14:textId="75E41299" w:rsidR="00535581" w:rsidRDefault="00704E89" w:rsidP="00535581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Com Building Types savings were mapped to all applicable SCE commercial building types</w:t>
      </w:r>
      <w:r w:rsidR="00535581" w:rsidRPr="005837B0">
        <w:rPr>
          <w:rFonts w:asciiTheme="minorHAnsi" w:hAnsiTheme="minorHAnsi" w:cstheme="minorHAnsi"/>
          <w:i w:val="0"/>
          <w:color w:val="auto"/>
          <w:szCs w:val="22"/>
        </w:rPr>
        <w:t>.</w:t>
      </w:r>
      <w:r w:rsidR="00535581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</w:p>
    <w:p w14:paraId="50B0DB84" w14:textId="4BE4E522" w:rsidR="00535581" w:rsidRDefault="009C30CF" w:rsidP="00535581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All SCE climate zone savings we</w:t>
      </w:r>
      <w:r w:rsidR="00704E89">
        <w:rPr>
          <w:rFonts w:asciiTheme="minorHAnsi" w:hAnsiTheme="minorHAnsi" w:cstheme="minorHAnsi"/>
          <w:i w:val="0"/>
          <w:color w:val="auto"/>
          <w:szCs w:val="22"/>
        </w:rPr>
        <w:t>re populate</w:t>
      </w:r>
      <w:r>
        <w:rPr>
          <w:rFonts w:asciiTheme="minorHAnsi" w:hAnsiTheme="minorHAnsi" w:cstheme="minorHAnsi"/>
          <w:i w:val="0"/>
          <w:color w:val="auto"/>
          <w:szCs w:val="22"/>
        </w:rPr>
        <w:t>d</w:t>
      </w:r>
      <w:r w:rsidR="00DE20E9">
        <w:rPr>
          <w:rFonts w:asciiTheme="minorHAnsi" w:hAnsiTheme="minorHAnsi" w:cstheme="minorHAnsi"/>
          <w:i w:val="0"/>
          <w:color w:val="auto"/>
          <w:szCs w:val="22"/>
        </w:rPr>
        <w:t xml:space="preserve"> using IOU climate zone from PG&amp;</w:t>
      </w:r>
      <w:r w:rsidR="00704E89">
        <w:rPr>
          <w:rFonts w:asciiTheme="minorHAnsi" w:hAnsiTheme="minorHAnsi" w:cstheme="minorHAnsi"/>
          <w:i w:val="0"/>
          <w:color w:val="auto"/>
          <w:szCs w:val="22"/>
        </w:rPr>
        <w:t xml:space="preserve">E </w:t>
      </w:r>
      <w:proofErr w:type="spellStart"/>
      <w:r w:rsidR="00704E89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="00322FD1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2BE238D0" w14:textId="5DF7FE38" w:rsidR="00535581" w:rsidRPr="005837B0" w:rsidRDefault="00704E89" w:rsidP="00704E89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For Commercial pumps, SCE has adopted a different Load Shape which is “</w:t>
      </w:r>
      <w:proofErr w:type="spellStart"/>
      <w:r w:rsidRPr="00704E89">
        <w:rPr>
          <w:rFonts w:asciiTheme="minorHAnsi" w:hAnsiTheme="minorHAnsi" w:cstheme="minorHAnsi"/>
          <w:i w:val="0"/>
          <w:color w:val="auto"/>
          <w:szCs w:val="22"/>
        </w:rPr>
        <w:t>Hi_Eff_AC_Mtr</w:t>
      </w:r>
      <w:proofErr w:type="spellEnd"/>
      <w:r w:rsidRPr="00704E89">
        <w:rPr>
          <w:rFonts w:asciiTheme="minorHAnsi" w:hAnsiTheme="minorHAnsi" w:cstheme="minorHAnsi"/>
          <w:i w:val="0"/>
          <w:color w:val="auto"/>
          <w:szCs w:val="22"/>
        </w:rPr>
        <w:t>-NC</w:t>
      </w:r>
      <w:r>
        <w:rPr>
          <w:rFonts w:asciiTheme="minorHAnsi" w:hAnsiTheme="minorHAnsi" w:cstheme="minorHAnsi"/>
          <w:i w:val="0"/>
          <w:color w:val="auto"/>
          <w:szCs w:val="22"/>
        </w:rPr>
        <w:t>”</w:t>
      </w:r>
      <w:r w:rsidR="009C30CF">
        <w:rPr>
          <w:rFonts w:asciiTheme="minorHAnsi" w:hAnsiTheme="minorHAnsi" w:cstheme="minorHAnsi"/>
          <w:i w:val="0"/>
          <w:color w:val="auto"/>
          <w:szCs w:val="22"/>
        </w:rPr>
        <w:t>. F</w:t>
      </w:r>
      <w:r>
        <w:rPr>
          <w:rFonts w:asciiTheme="minorHAnsi" w:hAnsiTheme="minorHAnsi" w:cstheme="minorHAnsi"/>
          <w:i w:val="0"/>
          <w:color w:val="auto"/>
          <w:szCs w:val="22"/>
        </w:rPr>
        <w:t>or all industrial application it will be “</w:t>
      </w:r>
      <w:r w:rsidRPr="00704E89">
        <w:rPr>
          <w:rFonts w:asciiTheme="minorHAnsi" w:hAnsiTheme="minorHAnsi" w:cstheme="minorHAnsi"/>
          <w:i w:val="0"/>
          <w:color w:val="auto"/>
          <w:szCs w:val="22"/>
        </w:rPr>
        <w:t>Industrial</w:t>
      </w:r>
      <w:r>
        <w:rPr>
          <w:rFonts w:asciiTheme="minorHAnsi" w:hAnsiTheme="minorHAnsi" w:cstheme="minorHAnsi"/>
          <w:i w:val="0"/>
          <w:color w:val="auto"/>
          <w:szCs w:val="22"/>
        </w:rPr>
        <w:t>”.</w:t>
      </w:r>
    </w:p>
    <w:p w14:paraId="1A0C60DA" w14:textId="0DF7CFF9" w:rsidR="00F30167" w:rsidRPr="0019162D" w:rsidRDefault="00704E89" w:rsidP="00535581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 w:val="28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Two</w:t>
      </w:r>
      <w:r w:rsidR="00535581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differe</w:t>
      </w:r>
      <w:r>
        <w:rPr>
          <w:rFonts w:asciiTheme="minorHAnsi" w:hAnsiTheme="minorHAnsi" w:cstheme="minorHAnsi"/>
          <w:i w:val="0"/>
          <w:color w:val="auto"/>
          <w:szCs w:val="22"/>
        </w:rPr>
        <w:t>nt calculation templates for Commercial</w:t>
      </w:r>
      <w:r w:rsidR="00535581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and Industrial applications are generated for appropriate representation </w:t>
      </w:r>
      <w:r w:rsidR="00B866D3">
        <w:rPr>
          <w:rFonts w:asciiTheme="minorHAnsi" w:hAnsiTheme="minorHAnsi" w:cstheme="minorHAnsi"/>
          <w:i w:val="0"/>
          <w:color w:val="auto"/>
          <w:szCs w:val="22"/>
        </w:rPr>
        <w:t>o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f </w:t>
      </w:r>
      <w:proofErr w:type="spellStart"/>
      <w:r>
        <w:rPr>
          <w:rFonts w:asciiTheme="minorHAnsi" w:hAnsiTheme="minorHAnsi" w:cstheme="minorHAnsi"/>
          <w:i w:val="0"/>
          <w:color w:val="auto"/>
          <w:szCs w:val="22"/>
        </w:rPr>
        <w:t>ExAnte</w:t>
      </w:r>
      <w:proofErr w:type="spellEnd"/>
      <w:r>
        <w:rPr>
          <w:rFonts w:asciiTheme="minorHAnsi" w:hAnsiTheme="minorHAnsi" w:cstheme="minorHAnsi"/>
          <w:i w:val="0"/>
          <w:color w:val="auto"/>
          <w:szCs w:val="22"/>
        </w:rPr>
        <w:t xml:space="preserve"> data.</w:t>
      </w:r>
    </w:p>
    <w:p w14:paraId="58CAB784" w14:textId="7311C699" w:rsidR="0019162D" w:rsidRPr="00F30167" w:rsidRDefault="0019162D" w:rsidP="0019162D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 w:val="28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SCE has assigned the </w:t>
      </w:r>
      <w:proofErr w:type="spellStart"/>
      <w:r>
        <w:rPr>
          <w:rFonts w:asciiTheme="minorHAnsi" w:hAnsiTheme="minorHAnsi" w:cstheme="minorHAnsi"/>
          <w:i w:val="0"/>
          <w:color w:val="auto"/>
          <w:szCs w:val="22"/>
        </w:rPr>
        <w:t>AgOth</w:t>
      </w:r>
      <w:proofErr w:type="spellEnd"/>
      <w:r>
        <w:rPr>
          <w:rFonts w:asciiTheme="minorHAnsi" w:hAnsiTheme="minorHAnsi" w:cstheme="minorHAnsi"/>
          <w:i w:val="0"/>
          <w:color w:val="auto"/>
          <w:szCs w:val="22"/>
        </w:rPr>
        <w:t xml:space="preserve"> building type sav</w:t>
      </w:r>
      <w:r w:rsidR="00B866D3">
        <w:rPr>
          <w:rFonts w:asciiTheme="minorHAnsi" w:hAnsiTheme="minorHAnsi" w:cstheme="minorHAnsi"/>
          <w:i w:val="0"/>
          <w:color w:val="auto"/>
          <w:szCs w:val="22"/>
        </w:rPr>
        <w:t xml:space="preserve">ings to </w:t>
      </w:r>
      <w:proofErr w:type="spellStart"/>
      <w:r w:rsidR="00B866D3">
        <w:rPr>
          <w:rFonts w:asciiTheme="minorHAnsi" w:hAnsiTheme="minorHAnsi" w:cstheme="minorHAnsi"/>
          <w:i w:val="0"/>
          <w:color w:val="auto"/>
          <w:szCs w:val="22"/>
        </w:rPr>
        <w:t>MLi</w:t>
      </w:r>
      <w:proofErr w:type="spellEnd"/>
      <w:r w:rsidR="00B866D3">
        <w:rPr>
          <w:rFonts w:asciiTheme="minorHAnsi" w:hAnsiTheme="minorHAnsi" w:cstheme="minorHAnsi"/>
          <w:i w:val="0"/>
          <w:color w:val="auto"/>
          <w:szCs w:val="22"/>
        </w:rPr>
        <w:t xml:space="preserve"> building type pursuan</w:t>
      </w:r>
      <w:r>
        <w:rPr>
          <w:rFonts w:asciiTheme="minorHAnsi" w:hAnsiTheme="minorHAnsi" w:cstheme="minorHAnsi"/>
          <w:i w:val="0"/>
          <w:color w:val="auto"/>
          <w:szCs w:val="22"/>
        </w:rPr>
        <w:t>t to the “</w:t>
      </w:r>
      <w:r w:rsidRPr="0019162D">
        <w:rPr>
          <w:rFonts w:asciiTheme="minorHAnsi" w:hAnsiTheme="minorHAnsi" w:cstheme="minorHAnsi"/>
          <w:i w:val="0"/>
          <w:color w:val="auto"/>
          <w:szCs w:val="22"/>
        </w:rPr>
        <w:t>2015_Lighting_Retrofit_Guidance_memo_FINAL</w:t>
      </w:r>
      <w:r>
        <w:rPr>
          <w:rFonts w:asciiTheme="minorHAnsi" w:hAnsiTheme="minorHAnsi" w:cstheme="minorHAnsi"/>
          <w:i w:val="0"/>
          <w:color w:val="auto"/>
          <w:szCs w:val="22"/>
        </w:rPr>
        <w:t>” [Attachment 2]</w:t>
      </w: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5BBC021B" w:rsidR="004147A4" w:rsidRDefault="00704E89" w:rsidP="00A30A0C">
            <w:r>
              <w:t>02/28/2018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2A00527A" w:rsidR="004147A4" w:rsidRDefault="00704E89" w:rsidP="00A30A0C">
            <w:r>
              <w:t xml:space="preserve">Ajay </w:t>
            </w:r>
            <w:proofErr w:type="spellStart"/>
            <w:r>
              <w:t>Wadhera</w:t>
            </w:r>
            <w:proofErr w:type="spellEnd"/>
            <w:r>
              <w:t>/SCE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34F0A8ED" w14:textId="2EFBE062" w:rsidR="004467AF" w:rsidRPr="00E16C17" w:rsidRDefault="009E0BAA" w:rsidP="00E16C17">
            <w:pPr>
              <w:pStyle w:val="ListParagraph"/>
              <w:numPr>
                <w:ilvl w:val="0"/>
                <w:numId w:val="42"/>
              </w:numPr>
              <w:ind w:left="284"/>
            </w:pPr>
            <w:r w:rsidRPr="00535581">
              <w:t>Calculation templates were d</w:t>
            </w:r>
            <w:r w:rsidR="00704E89">
              <w:t>eveloped based on PGE’s ED Reports</w:t>
            </w:r>
            <w:r w:rsidRPr="00535581">
              <w:t xml:space="preserve"> “</w:t>
            </w:r>
            <w:r w:rsidR="00704E89" w:rsidRPr="00704E89">
              <w:t>PGECOPUM106 rev0</w:t>
            </w:r>
            <w:r w:rsidRPr="00535581">
              <w:t>”.</w:t>
            </w: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537DA88D" w:rsidR="009A2332" w:rsidRDefault="00A30A0C" w:rsidP="00D234E0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704E89" w:rsidRPr="00704E89">
              <w:t xml:space="preserve">PGECOPUM106 rev0 Water pump Upgrade </w:t>
            </w:r>
            <w:proofErr w:type="spellStart"/>
            <w:r w:rsidR="00704E89" w:rsidRPr="00704E89">
              <w:t>workpaper</w:t>
            </w:r>
            <w:proofErr w:type="spellEnd"/>
            <w:r w:rsidR="00704E89">
              <w:t xml:space="preserve">. The base wattage and energy </w:t>
            </w:r>
            <w:r w:rsidR="009516CF">
              <w:t xml:space="preserve">savings values are from PG&amp;E’s </w:t>
            </w:r>
            <w:proofErr w:type="spellStart"/>
            <w:r w:rsidR="009516CF">
              <w:t>workpaper</w:t>
            </w:r>
            <w:proofErr w:type="spellEnd"/>
            <w:r w:rsidR="009516CF">
              <w:t xml:space="preserve"> </w:t>
            </w:r>
            <w:r w:rsidR="00704E89" w:rsidRPr="00704E89">
              <w:t>PGECOPUM106 rev0 Water pump Upgrade</w:t>
            </w:r>
            <w:r w:rsidR="009516CF">
              <w:t>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042E6956" w14:textId="77777777" w:rsidR="00EA256A" w:rsidRDefault="00535581" w:rsidP="00704E89">
            <w:r>
              <w:t>No Difference</w:t>
            </w:r>
            <w:r w:rsidR="00685F04">
              <w:t xml:space="preserve"> except SCE </w:t>
            </w:r>
            <w:r w:rsidR="00704E89">
              <w:t xml:space="preserve">mapped PG7E’s Com building type to all applicable SCE building types. </w:t>
            </w:r>
          </w:p>
          <w:p w14:paraId="240923DF" w14:textId="77777777" w:rsidR="00EA256A" w:rsidRDefault="00EA256A" w:rsidP="00704E89"/>
          <w:p w14:paraId="2C30E089" w14:textId="7A498EBA" w:rsidR="009A2332" w:rsidRDefault="00704E89" w:rsidP="00704E89">
            <w:r>
              <w:t>For Industrial building type</w:t>
            </w:r>
            <w:r w:rsidR="00EA256A">
              <w:t>,</w:t>
            </w:r>
            <w:r>
              <w:t xml:space="preserve"> SCE mapped the savings to </w:t>
            </w:r>
            <w:proofErr w:type="spellStart"/>
            <w:r>
              <w:t>MLi</w:t>
            </w:r>
            <w:proofErr w:type="spellEnd"/>
            <w:r>
              <w:t xml:space="preserve"> building type.</w:t>
            </w:r>
            <w:r w:rsidR="0019162D">
              <w:t xml:space="preserve"> Also</w:t>
            </w:r>
            <w:r w:rsidR="00EA256A">
              <w:t>,</w:t>
            </w:r>
            <w:r w:rsidR="0019162D">
              <w:t xml:space="preserve"> the savings for </w:t>
            </w:r>
            <w:proofErr w:type="spellStart"/>
            <w:r w:rsidR="0019162D">
              <w:t>MLi</w:t>
            </w:r>
            <w:proofErr w:type="spellEnd"/>
            <w:r w:rsidR="0019162D">
              <w:t xml:space="preserve"> </w:t>
            </w:r>
            <w:proofErr w:type="spellStart"/>
            <w:r w:rsidR="0019162D">
              <w:t>bulding</w:t>
            </w:r>
            <w:proofErr w:type="spellEnd"/>
            <w:r w:rsidR="0019162D">
              <w:t xml:space="preserve"> type are mapped to the </w:t>
            </w:r>
            <w:proofErr w:type="spellStart"/>
            <w:r w:rsidR="0019162D">
              <w:t>AgOth</w:t>
            </w:r>
            <w:proofErr w:type="spellEnd"/>
            <w:r w:rsidR="0019162D">
              <w:t xml:space="preserve"> building type from PG&amp;E</w:t>
            </w:r>
            <w:r w:rsidR="002323DE">
              <w:t>’s</w:t>
            </w:r>
            <w:r w:rsidR="0019162D">
              <w:t xml:space="preserve"> </w:t>
            </w:r>
            <w:proofErr w:type="spellStart"/>
            <w:r w:rsidR="0019162D">
              <w:t>workpaper</w:t>
            </w:r>
            <w:proofErr w:type="spellEnd"/>
            <w:r w:rsidR="0019162D">
              <w:t>.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1725A28" w:rsidR="009A2332" w:rsidRDefault="00535581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D2496B">
        <w:trPr>
          <w:trHeight w:val="1610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3D5CED42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704E89" w:rsidRPr="00704E89">
              <w:t>PGECOPUM106 rev0</w:t>
            </w:r>
            <w:r w:rsidRPr="00963BD4">
              <w:rPr>
                <w:szCs w:val="22"/>
              </w:rPr>
              <w:t xml:space="preserve"> </w:t>
            </w:r>
            <w:proofErr w:type="spellStart"/>
            <w:r w:rsidRPr="00963BD4">
              <w:rPr>
                <w:szCs w:val="22"/>
              </w:rPr>
              <w:t>workpaper</w:t>
            </w:r>
            <w:proofErr w:type="spellEnd"/>
            <w:r w:rsidRPr="00963BD4">
              <w:rPr>
                <w:szCs w:val="22"/>
              </w:rPr>
              <w:t xml:space="preserve">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2777B18" w14:textId="3F0DE060" w:rsidR="00EC016F" w:rsidRPr="00704E89" w:rsidRDefault="00535581" w:rsidP="00704E89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>The customer must be a residential or c</w:t>
            </w:r>
            <w:r w:rsidR="00D2496B">
              <w:rPr>
                <w:rFonts w:cs="Arial"/>
                <w:szCs w:val="22"/>
              </w:rPr>
              <w:t>ommercial SCE electric customer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1B0764E4" w:rsidR="009A2332" w:rsidRDefault="00535581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0A159A6" w14:textId="77777777" w:rsidR="00685F04" w:rsidRDefault="009C30CF" w:rsidP="00535581">
            <w:r>
              <w:t xml:space="preserve">SCE is adding </w:t>
            </w:r>
            <w:r w:rsidR="00535581">
              <w:t xml:space="preserve">Down-Stream Incentive - Deemed </w:t>
            </w:r>
          </w:p>
          <w:p w14:paraId="67E45078" w14:textId="22AF0ABC" w:rsidR="0019162D" w:rsidRPr="0019162D" w:rsidRDefault="0019162D" w:rsidP="0019162D">
            <w:pPr>
              <w:autoSpaceDE w:val="0"/>
              <w:autoSpaceDN w:val="0"/>
              <w:adjustRightInd w:val="0"/>
              <w:spacing w:line="240" w:lineRule="atLeast"/>
              <w:rPr>
                <w:rFonts w:cs="Helv"/>
                <w:sz w:val="18"/>
                <w:szCs w:val="18"/>
              </w:rPr>
            </w:pPr>
            <w:r w:rsidRPr="0019162D">
              <w:t>Mid-Stream Incentive and Financial Support - Dir</w:t>
            </w:r>
            <w:bookmarkStart w:id="3" w:name="_GoBack"/>
            <w:bookmarkEnd w:id="3"/>
            <w:r w:rsidRPr="0019162D">
              <w:t>ect Install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18914EB5" w:rsidR="005F762C" w:rsidRDefault="00704E89" w:rsidP="00685F04">
            <w:r>
              <w:rPr>
                <w:rFonts w:ascii="Calibri" w:hAnsi="Calibri"/>
                <w:color w:val="000000"/>
                <w:szCs w:val="22"/>
              </w:rPr>
              <w:t>No Difference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0BC13BC" w14:textId="27D7E84F" w:rsidR="009A2332" w:rsidRDefault="00E16C17" w:rsidP="00D04433">
            <w:r>
              <w:t>No Difference</w:t>
            </w:r>
          </w:p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1BD000AF" w:rsidR="009A2332" w:rsidRDefault="00E16C17">
            <w:r>
              <w:t>No Difference</w:t>
            </w:r>
            <w:r w:rsidR="00853F0E">
              <w:t xml:space="preserve"> </w:t>
            </w:r>
            <w:r w:rsidR="00D04433">
              <w:t xml:space="preserve">  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69A8B835" w14:textId="77777777" w:rsidR="009A2332" w:rsidRDefault="00E16C17" w:rsidP="00853F0E">
            <w:pPr>
              <w:rPr>
                <w:rFonts w:cstheme="minorHAnsi"/>
                <w:szCs w:val="22"/>
              </w:rPr>
            </w:pPr>
            <w:r>
              <w:t>Commercial – “</w:t>
            </w:r>
            <w:proofErr w:type="spellStart"/>
            <w:r w:rsidRPr="00704E89">
              <w:rPr>
                <w:rFonts w:cstheme="minorHAnsi"/>
                <w:szCs w:val="22"/>
              </w:rPr>
              <w:t>Hi_Eff_AC_Mtr</w:t>
            </w:r>
            <w:proofErr w:type="spellEnd"/>
            <w:r w:rsidRPr="00704E89">
              <w:rPr>
                <w:rFonts w:cstheme="minorHAnsi"/>
                <w:szCs w:val="22"/>
              </w:rPr>
              <w:t>-NC</w:t>
            </w:r>
            <w:r>
              <w:rPr>
                <w:rFonts w:cstheme="minorHAnsi"/>
                <w:szCs w:val="22"/>
              </w:rPr>
              <w:t>”</w:t>
            </w:r>
          </w:p>
          <w:p w14:paraId="573722DD" w14:textId="48387630" w:rsidR="00E16C17" w:rsidRDefault="00E16C17" w:rsidP="00853F0E">
            <w:r>
              <w:rPr>
                <w:rFonts w:cstheme="minorHAnsi"/>
                <w:szCs w:val="22"/>
              </w:rPr>
              <w:t>Industrial – “</w:t>
            </w:r>
            <w:r w:rsidRPr="00704E89">
              <w:rPr>
                <w:rFonts w:cstheme="minorHAnsi"/>
                <w:szCs w:val="22"/>
              </w:rPr>
              <w:t>Industrial</w:t>
            </w:r>
            <w:r>
              <w:rPr>
                <w:rFonts w:cstheme="minorHAnsi"/>
                <w:szCs w:val="22"/>
              </w:rPr>
              <w:t>”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70F7AFE0" w14:textId="33BECC75" w:rsidR="007B2FFB" w:rsidRPr="00924B0A" w:rsidRDefault="007B2FFB" w:rsidP="007B2FFB">
      <w:pPr>
        <w:rPr>
          <w:b/>
          <w:szCs w:val="20"/>
        </w:rPr>
      </w:pPr>
      <w:bookmarkStart w:id="4" w:name="_Toc214003099"/>
      <w:bookmarkEnd w:id="1"/>
      <w:bookmarkEnd w:id="4"/>
      <w:r w:rsidRPr="00924B0A">
        <w:rPr>
          <w:b/>
          <w:szCs w:val="20"/>
        </w:rPr>
        <w:t>Attachments</w:t>
      </w:r>
    </w:p>
    <w:p w14:paraId="37E9FBDB" w14:textId="2C316E1C" w:rsidR="00E16609" w:rsidRDefault="00E16C17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SCE17WP015.0</w:t>
      </w:r>
      <w:r w:rsidR="007B2FFB" w:rsidRPr="007B2FFB">
        <w:rPr>
          <w:szCs w:val="20"/>
        </w:rPr>
        <w:t xml:space="preserve"> A1 – Calculation Templates</w:t>
      </w:r>
      <w:r w:rsidR="00924B0A">
        <w:rPr>
          <w:szCs w:val="20"/>
        </w:rPr>
        <w:t>_Final.zip</w:t>
      </w:r>
    </w:p>
    <w:p w14:paraId="303B8F7C" w14:textId="5E78C992" w:rsidR="0019162D" w:rsidRPr="007B2FFB" w:rsidRDefault="0019162D" w:rsidP="0019162D">
      <w:pPr>
        <w:pStyle w:val="ListParagraph"/>
        <w:numPr>
          <w:ilvl w:val="0"/>
          <w:numId w:val="39"/>
        </w:numPr>
        <w:rPr>
          <w:szCs w:val="20"/>
        </w:rPr>
      </w:pPr>
      <w:r w:rsidRPr="0019162D">
        <w:rPr>
          <w:szCs w:val="20"/>
        </w:rPr>
        <w:t>SCE17WP015.0 A2 2015_Lighting_Retrofit_Guidance_memo_FINAL</w:t>
      </w:r>
    </w:p>
    <w:sectPr w:rsidR="0019162D" w:rsidRPr="007B2FFB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C60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D44F2" w14:textId="77777777" w:rsidR="00FA6500" w:rsidRDefault="00FA6500" w:rsidP="00447D6E">
      <w:r>
        <w:separator/>
      </w:r>
    </w:p>
    <w:p w14:paraId="4ACAEFCD" w14:textId="77777777" w:rsidR="00FA6500" w:rsidRDefault="00FA6500"/>
  </w:endnote>
  <w:endnote w:type="continuationSeparator" w:id="0">
    <w:p w14:paraId="4C399891" w14:textId="77777777" w:rsidR="00FA6500" w:rsidRDefault="00FA6500" w:rsidP="00447D6E">
      <w:r>
        <w:continuationSeparator/>
      </w:r>
    </w:p>
    <w:p w14:paraId="589EBDAE" w14:textId="77777777" w:rsidR="00FA6500" w:rsidRDefault="00FA6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10AFD518" w:rsidR="00F30167" w:rsidRPr="009500DC" w:rsidRDefault="00EA256A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04E89">
          <w:rPr>
            <w:rFonts w:cstheme="minorHAnsi"/>
            <w:b/>
            <w:sz w:val="20"/>
            <w:szCs w:val="20"/>
          </w:rPr>
          <w:t>SCE17WP015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04E89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2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2-28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704E89">
          <w:rPr>
            <w:rFonts w:cstheme="minorHAnsi"/>
            <w:b/>
            <w:sz w:val="20"/>
            <w:szCs w:val="20"/>
          </w:rPr>
          <w:t>February 28, 2018</w:t>
        </w:r>
      </w:sdtContent>
    </w:sdt>
  </w:p>
  <w:p w14:paraId="43C07EA5" w14:textId="544E4323" w:rsidR="00F30167" w:rsidRPr="009500DC" w:rsidRDefault="00EA256A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85CF1" w14:textId="77777777" w:rsidR="00FA6500" w:rsidRDefault="00FA6500" w:rsidP="00447D6E">
      <w:r>
        <w:separator/>
      </w:r>
    </w:p>
    <w:p w14:paraId="33827A9E" w14:textId="77777777" w:rsidR="00FA6500" w:rsidRDefault="00FA6500"/>
  </w:footnote>
  <w:footnote w:type="continuationSeparator" w:id="0">
    <w:p w14:paraId="2F78845E" w14:textId="77777777" w:rsidR="00FA6500" w:rsidRDefault="00FA6500" w:rsidP="00447D6E">
      <w:r>
        <w:continuationSeparator/>
      </w:r>
    </w:p>
    <w:p w14:paraId="3D7AD54D" w14:textId="77777777" w:rsidR="00FA6500" w:rsidRDefault="00FA650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8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24"/>
  </w:num>
  <w:num w:numId="4">
    <w:abstractNumId w:val="22"/>
  </w:num>
  <w:num w:numId="5">
    <w:abstractNumId w:val="22"/>
  </w:num>
  <w:num w:numId="6">
    <w:abstractNumId w:val="2"/>
  </w:num>
  <w:num w:numId="7">
    <w:abstractNumId w:val="26"/>
  </w:num>
  <w:num w:numId="8">
    <w:abstractNumId w:val="23"/>
  </w:num>
  <w:num w:numId="9">
    <w:abstractNumId w:val="14"/>
  </w:num>
  <w:num w:numId="10">
    <w:abstractNumId w:val="8"/>
  </w:num>
  <w:num w:numId="11">
    <w:abstractNumId w:val="27"/>
  </w:num>
  <w:num w:numId="12">
    <w:abstractNumId w:val="20"/>
  </w:num>
  <w:num w:numId="13">
    <w:abstractNumId w:val="13"/>
  </w:num>
  <w:num w:numId="14">
    <w:abstractNumId w:val="40"/>
  </w:num>
  <w:num w:numId="15">
    <w:abstractNumId w:val="11"/>
  </w:num>
  <w:num w:numId="16">
    <w:abstractNumId w:val="15"/>
  </w:num>
  <w:num w:numId="17">
    <w:abstractNumId w:val="6"/>
  </w:num>
  <w:num w:numId="18">
    <w:abstractNumId w:val="0"/>
  </w:num>
  <w:num w:numId="19">
    <w:abstractNumId w:val="38"/>
  </w:num>
  <w:num w:numId="20">
    <w:abstractNumId w:val="5"/>
  </w:num>
  <w:num w:numId="21">
    <w:abstractNumId w:val="29"/>
  </w:num>
  <w:num w:numId="22">
    <w:abstractNumId w:val="31"/>
  </w:num>
  <w:num w:numId="23">
    <w:abstractNumId w:val="41"/>
  </w:num>
  <w:num w:numId="24">
    <w:abstractNumId w:val="35"/>
  </w:num>
  <w:num w:numId="25">
    <w:abstractNumId w:val="16"/>
  </w:num>
  <w:num w:numId="26">
    <w:abstractNumId w:val="19"/>
  </w:num>
  <w:num w:numId="27">
    <w:abstractNumId w:val="32"/>
  </w:num>
  <w:num w:numId="28">
    <w:abstractNumId w:val="18"/>
  </w:num>
  <w:num w:numId="29">
    <w:abstractNumId w:val="10"/>
  </w:num>
  <w:num w:numId="30">
    <w:abstractNumId w:val="1"/>
  </w:num>
  <w:num w:numId="31">
    <w:abstractNumId w:val="42"/>
  </w:num>
  <w:num w:numId="32">
    <w:abstractNumId w:val="28"/>
  </w:num>
  <w:num w:numId="33">
    <w:abstractNumId w:val="34"/>
  </w:num>
  <w:num w:numId="34">
    <w:abstractNumId w:val="12"/>
  </w:num>
  <w:num w:numId="35">
    <w:abstractNumId w:val="17"/>
  </w:num>
  <w:num w:numId="36">
    <w:abstractNumId w:val="9"/>
  </w:num>
  <w:num w:numId="37">
    <w:abstractNumId w:val="39"/>
  </w:num>
  <w:num w:numId="38">
    <w:abstractNumId w:val="3"/>
  </w:num>
  <w:num w:numId="39">
    <w:abstractNumId w:val="4"/>
  </w:num>
  <w:num w:numId="40">
    <w:abstractNumId w:val="21"/>
  </w:num>
  <w:num w:numId="41">
    <w:abstractNumId w:val="33"/>
  </w:num>
  <w:num w:numId="42">
    <w:abstractNumId w:val="37"/>
  </w:num>
  <w:num w:numId="43">
    <w:abstractNumId w:val="7"/>
  </w:num>
  <w:num w:numId="44">
    <w:abstractNumId w:val="30"/>
  </w:num>
  <w:num w:numId="45">
    <w:abstractNumId w:val="3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sco, Lake">
    <w15:presenceInfo w15:providerId="AD" w15:userId="S-1-5-21-1786704334-1080620903-3496478664-62351"/>
  </w15:person>
  <w15:person w15:author="Vega, Kar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162D"/>
    <w:rsid w:val="001979AF"/>
    <w:rsid w:val="001A0C7D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323DE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04E89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30CF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866B4"/>
    <w:rsid w:val="00B866D3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496B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20E9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17"/>
    <w:rsid w:val="00E16CB5"/>
    <w:rsid w:val="00E16F08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256A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704E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704E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9C7937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DE0786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B08AEF-739C-4F9B-ACDE-CD08776A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SCE17WP015</vt:lpstr>
    </vt:vector>
  </TitlesOfParts>
  <Company>Southern California Edison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SCE17WP015</dc:title>
  <dc:creator>Jim Wyatt (PG&amp;E);Jason Wang (SCE)</dc:creator>
  <cp:lastModifiedBy>Cuaresma, Cassie</cp:lastModifiedBy>
  <cp:revision>7</cp:revision>
  <dcterms:created xsi:type="dcterms:W3CDTF">2018-03-01T17:54:00Z</dcterms:created>
  <dcterms:modified xsi:type="dcterms:W3CDTF">2018-03-01T19:07:00Z</dcterms:modified>
  <cp:contentStatus>Revision 0</cp:contentStatus>
</cp:coreProperties>
</file>